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6AD7" w14:textId="75BB583E" w:rsidR="00E73FD2" w:rsidRPr="00616A8B" w:rsidRDefault="002F51C3" w:rsidP="002F51C3">
      <w:pPr>
        <w:jc w:val="center"/>
        <w:rPr>
          <w:rFonts w:ascii="Lato" w:hAnsi="Lato" w:cstheme="minorHAnsi"/>
          <w:b/>
        </w:rPr>
      </w:pPr>
      <w:r w:rsidRPr="00616A8B">
        <w:rPr>
          <w:rFonts w:ascii="Lato" w:hAnsi="Lato"/>
          <w:b/>
        </w:rPr>
        <w:t xml:space="preserve">Raport z konsultacji publicznych projektu </w:t>
      </w:r>
      <w:r w:rsidR="00CE67C5">
        <w:rPr>
          <w:rFonts w:ascii="Lato" w:hAnsi="Lato"/>
          <w:b/>
        </w:rPr>
        <w:t>r</w:t>
      </w:r>
      <w:r w:rsidRPr="00616A8B">
        <w:rPr>
          <w:rFonts w:ascii="Lato" w:hAnsi="Lato"/>
          <w:b/>
        </w:rPr>
        <w:t xml:space="preserve">ozporządzenia Ministra Cyfryzacji zmieniającego </w:t>
      </w:r>
      <w:r w:rsidRPr="00616A8B">
        <w:rPr>
          <w:rFonts w:ascii="Lato" w:hAnsi="Lato" w:cstheme="minorHAnsi"/>
          <w:b/>
        </w:rPr>
        <w:t xml:space="preserve">rozporządzenie Ministra Cyfryzacji w sprawie urządzeń radiowych nadawczych lub nadawczo-odbiorczych, które mogą być używane bez pozwolenia radiowego [WPL MC </w:t>
      </w:r>
      <w:r w:rsidR="005F4AC6">
        <w:rPr>
          <w:rFonts w:ascii="Lato" w:hAnsi="Lato" w:cstheme="minorHAnsi"/>
          <w:b/>
        </w:rPr>
        <w:br/>
      </w:r>
      <w:r w:rsidRPr="00616A8B">
        <w:rPr>
          <w:rFonts w:ascii="Lato" w:hAnsi="Lato" w:cstheme="minorHAnsi"/>
          <w:b/>
        </w:rPr>
        <w:t>poz. 198]</w:t>
      </w:r>
    </w:p>
    <w:p w14:paraId="5882A6D3" w14:textId="77777777" w:rsidR="00BD5791" w:rsidRPr="00616A8B" w:rsidRDefault="00BD5791" w:rsidP="002F51C3">
      <w:pPr>
        <w:jc w:val="center"/>
        <w:rPr>
          <w:rFonts w:ascii="Lato" w:hAnsi="Lato" w:cstheme="minorHAnsi"/>
          <w:b/>
        </w:rPr>
      </w:pPr>
    </w:p>
    <w:p w14:paraId="2746DBFF" w14:textId="2F352DF9" w:rsidR="00BD5791" w:rsidRPr="00616A8B" w:rsidRDefault="00040F4D" w:rsidP="003F3419">
      <w:pPr>
        <w:pStyle w:val="Akapitzlist"/>
        <w:numPr>
          <w:ilvl w:val="0"/>
          <w:numId w:val="1"/>
        </w:numPr>
        <w:jc w:val="both"/>
        <w:rPr>
          <w:rFonts w:ascii="Lato" w:hAnsi="Lato" w:cstheme="minorHAnsi"/>
          <w:b/>
        </w:rPr>
      </w:pPr>
      <w:r w:rsidRPr="00616A8B">
        <w:rPr>
          <w:rFonts w:ascii="Lato" w:hAnsi="Lato" w:cstheme="minorHAnsi"/>
          <w:b/>
        </w:rPr>
        <w:t>Omówienie wyników przeprowadzanych konsultacji publicznych i</w:t>
      </w:r>
      <w:r w:rsidR="00A9561B" w:rsidRPr="00616A8B">
        <w:rPr>
          <w:rFonts w:ascii="Lato" w:hAnsi="Lato" w:cstheme="minorHAnsi"/>
          <w:b/>
        </w:rPr>
        <w:t> </w:t>
      </w:r>
      <w:r w:rsidRPr="00616A8B">
        <w:rPr>
          <w:rFonts w:ascii="Lato" w:hAnsi="Lato" w:cstheme="minorHAnsi"/>
          <w:b/>
        </w:rPr>
        <w:t>opiniowania</w:t>
      </w:r>
    </w:p>
    <w:p w14:paraId="64729C54" w14:textId="00B71C4F" w:rsidR="00040F4D" w:rsidRDefault="00A9561B" w:rsidP="003F3419">
      <w:pPr>
        <w:jc w:val="both"/>
        <w:rPr>
          <w:rFonts w:ascii="Lato" w:hAnsi="Lato" w:cstheme="minorHAnsi"/>
        </w:rPr>
      </w:pPr>
      <w:r w:rsidRPr="00616A8B">
        <w:rPr>
          <w:rFonts w:ascii="Lato" w:hAnsi="Lato" w:cstheme="minorHAnsi"/>
        </w:rPr>
        <w:t xml:space="preserve">Projekt </w:t>
      </w:r>
      <w:r w:rsidR="00CE67C5">
        <w:rPr>
          <w:rFonts w:ascii="Lato" w:hAnsi="Lato" w:cstheme="minorHAnsi"/>
        </w:rPr>
        <w:t>r</w:t>
      </w:r>
      <w:r w:rsidRPr="00616A8B">
        <w:rPr>
          <w:rFonts w:ascii="Lato" w:hAnsi="Lato" w:cstheme="minorHAnsi"/>
          <w:i/>
        </w:rPr>
        <w:t>ozporządzenia Ministra Cyfryzacji zmieniającego rozporządzenie w sprawie urządzeń radiowych nadawczych lub nadawczo-odbiorczych, które mogą być używane bez pozwolenia radiowego</w:t>
      </w:r>
      <w:r w:rsidRPr="00616A8B">
        <w:rPr>
          <w:rFonts w:ascii="Lato" w:hAnsi="Lato" w:cstheme="minorHAnsi"/>
        </w:rPr>
        <w:t xml:space="preserve"> [WPL MC poz. 198]</w:t>
      </w:r>
      <w:r w:rsidR="00582433">
        <w:rPr>
          <w:rFonts w:ascii="Lato" w:hAnsi="Lato" w:cstheme="minorHAnsi"/>
        </w:rPr>
        <w:t xml:space="preserve"> </w:t>
      </w:r>
      <w:r w:rsidR="00856850">
        <w:rPr>
          <w:rFonts w:ascii="Lato" w:hAnsi="Lato" w:cstheme="minorHAnsi"/>
        </w:rPr>
        <w:t>został</w:t>
      </w:r>
      <w:r w:rsidR="00582433">
        <w:rPr>
          <w:rFonts w:ascii="Lato" w:hAnsi="Lato" w:cstheme="minorHAnsi"/>
        </w:rPr>
        <w:t xml:space="preserve"> poddany konsultacjom publicznych i opiniowaniu.</w:t>
      </w:r>
    </w:p>
    <w:p w14:paraId="1BE4226D" w14:textId="0C4159B6" w:rsidR="00582433" w:rsidRDefault="00582433" w:rsidP="003F3419">
      <w:p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Projekt w ramach konsultacji publicznych i opiniowania został przesłany łą</w:t>
      </w:r>
      <w:r w:rsidR="00A41602">
        <w:rPr>
          <w:rFonts w:ascii="Lato" w:hAnsi="Lato" w:cstheme="minorHAnsi"/>
        </w:rPr>
        <w:t xml:space="preserve">cznie do </w:t>
      </w:r>
      <w:r w:rsidR="003208BC">
        <w:rPr>
          <w:rFonts w:ascii="Lato" w:hAnsi="Lato" w:cstheme="minorHAnsi"/>
        </w:rPr>
        <w:t>30</w:t>
      </w:r>
      <w:r w:rsidR="00A41602">
        <w:rPr>
          <w:rFonts w:ascii="Lato" w:hAnsi="Lato" w:cstheme="minorHAnsi"/>
        </w:rPr>
        <w:t xml:space="preserve"> </w:t>
      </w:r>
      <w:r>
        <w:rPr>
          <w:rFonts w:ascii="Lato" w:hAnsi="Lato" w:cstheme="minorHAnsi"/>
        </w:rPr>
        <w:t>podmiotów:</w:t>
      </w:r>
    </w:p>
    <w:p w14:paraId="1A097642" w14:textId="77777777" w:rsidR="006A3406" w:rsidRDefault="006A3406" w:rsidP="003F3419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b/>
        </w:rPr>
      </w:pPr>
      <w:r w:rsidRPr="0006710C">
        <w:rPr>
          <w:rFonts w:ascii="Lato" w:hAnsi="Lato" w:cstheme="minorHAnsi"/>
          <w:b/>
        </w:rPr>
        <w:t>W tym do konsultacji publicznych otrzymały go (</w:t>
      </w:r>
      <w:r w:rsidR="00A3348D">
        <w:rPr>
          <w:rFonts w:ascii="Lato" w:hAnsi="Lato" w:cstheme="minorHAnsi"/>
          <w:b/>
        </w:rPr>
        <w:t>25</w:t>
      </w:r>
      <w:r w:rsidRPr="0006710C">
        <w:rPr>
          <w:rFonts w:ascii="Lato" w:hAnsi="Lato" w:cstheme="minorHAnsi"/>
          <w:b/>
        </w:rPr>
        <w:t>):</w:t>
      </w:r>
    </w:p>
    <w:p w14:paraId="780A8077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Fundacja Bezpieczna Cyberprzestrzeń,</w:t>
      </w:r>
    </w:p>
    <w:p w14:paraId="45EF41CD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Fundacja Projekt Polska,</w:t>
      </w:r>
    </w:p>
    <w:p w14:paraId="06BC36F5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Fundacja Nowoczesna Polska,</w:t>
      </w:r>
    </w:p>
    <w:p w14:paraId="7D95148A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Fundacja Panoptykon,</w:t>
      </w:r>
    </w:p>
    <w:p w14:paraId="5B41F388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 xml:space="preserve">Internet </w:t>
      </w:r>
      <w:proofErr w:type="spellStart"/>
      <w:r w:rsidRPr="0006710C">
        <w:rPr>
          <w:rFonts w:ascii="Lato" w:hAnsi="Lato" w:cstheme="minorHAnsi"/>
        </w:rPr>
        <w:t>Society</w:t>
      </w:r>
      <w:proofErr w:type="spellEnd"/>
      <w:r w:rsidRPr="0006710C">
        <w:rPr>
          <w:rFonts w:ascii="Lato" w:hAnsi="Lato" w:cstheme="minorHAnsi"/>
        </w:rPr>
        <w:t xml:space="preserve"> Poland,</w:t>
      </w:r>
    </w:p>
    <w:p w14:paraId="0C289CEC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Krajowa Izba Gospodarcza,</w:t>
      </w:r>
    </w:p>
    <w:p w14:paraId="0D18CE86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Krajowa Izba Gospodarcza Elektroniki i Telekomunikacji,</w:t>
      </w:r>
    </w:p>
    <w:p w14:paraId="0BB7946B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 xml:space="preserve">Krajowa Izba Komunikacji </w:t>
      </w:r>
      <w:proofErr w:type="spellStart"/>
      <w:r w:rsidRPr="0006710C">
        <w:rPr>
          <w:rFonts w:ascii="Lato" w:hAnsi="Lato" w:cstheme="minorHAnsi"/>
        </w:rPr>
        <w:t>Ethernetowej</w:t>
      </w:r>
      <w:proofErr w:type="spellEnd"/>
      <w:r w:rsidRPr="0006710C">
        <w:rPr>
          <w:rFonts w:ascii="Lato" w:hAnsi="Lato" w:cstheme="minorHAnsi"/>
        </w:rPr>
        <w:t>,</w:t>
      </w:r>
    </w:p>
    <w:p w14:paraId="1CC58705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PKP TELKOL Sp. z o.o.,</w:t>
      </w:r>
    </w:p>
    <w:p w14:paraId="60D97C7E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PKP Polskie Linie Kolejowe S.A,</w:t>
      </w:r>
    </w:p>
    <w:p w14:paraId="1289D806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PKP S.A.,</w:t>
      </w:r>
    </w:p>
    <w:p w14:paraId="4D312762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Ogólnopolskie Porozumienie Organizacji Radioamatorskich,</w:t>
      </w:r>
    </w:p>
    <w:p w14:paraId="71C0C632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Polska Izba Radiodyfuzji Cyfrowej,</w:t>
      </w:r>
    </w:p>
    <w:p w14:paraId="0B806613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Polska Izba Handlu,</w:t>
      </w:r>
    </w:p>
    <w:p w14:paraId="57D8AEC2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Polska Izba Informatyki i Telekomunikacji,</w:t>
      </w:r>
    </w:p>
    <w:p w14:paraId="2EB529BC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Polska Izba Komunikacji Elektronicznej,</w:t>
      </w:r>
    </w:p>
    <w:p w14:paraId="770EE24B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Polskie Radio S.A.,</w:t>
      </w:r>
    </w:p>
    <w:p w14:paraId="110C3EA6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Polskie Towarzystwo Informatyczne,</w:t>
      </w:r>
    </w:p>
    <w:p w14:paraId="1DCC3342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Polski Związek Krótkofalowców,</w:t>
      </w:r>
    </w:p>
    <w:p w14:paraId="3DD7335C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Stowarzyszenia Elektryków Polskich,</w:t>
      </w:r>
    </w:p>
    <w:p w14:paraId="03DA15BC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Stowarzyszenie Inżynierów Telekomunikacji,</w:t>
      </w:r>
    </w:p>
    <w:p w14:paraId="60808172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Telewizja Polska S.A.,</w:t>
      </w:r>
    </w:p>
    <w:p w14:paraId="3CF2DC70" w14:textId="77777777" w:rsidR="0006710C" w:rsidRPr="008158B2" w:rsidRDefault="0006710C" w:rsidP="008158B2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Związek Importerów i Producentów Sprzętu Elektrycznego i Elektronicznego – ZIPSEE Cyfrowa</w:t>
      </w:r>
      <w:r w:rsidR="008158B2">
        <w:rPr>
          <w:rFonts w:ascii="Lato" w:hAnsi="Lato" w:cstheme="minorHAnsi"/>
        </w:rPr>
        <w:t xml:space="preserve"> </w:t>
      </w:r>
      <w:r w:rsidRPr="008158B2">
        <w:rPr>
          <w:rFonts w:ascii="Lato" w:hAnsi="Lato" w:cstheme="minorHAnsi"/>
        </w:rPr>
        <w:t>Polska,</w:t>
      </w:r>
    </w:p>
    <w:p w14:paraId="4BFF8F5A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Związek Pracodawców Mediów Publicznych,</w:t>
      </w:r>
    </w:p>
    <w:p w14:paraId="262B414B" w14:textId="77777777" w:rsidR="0006710C" w:rsidRPr="0006710C" w:rsidRDefault="0006710C" w:rsidP="0006710C">
      <w:pPr>
        <w:pStyle w:val="Akapitzlist"/>
        <w:numPr>
          <w:ilvl w:val="0"/>
          <w:numId w:val="5"/>
        </w:numPr>
        <w:jc w:val="both"/>
        <w:rPr>
          <w:rFonts w:ascii="Lato" w:hAnsi="Lato" w:cstheme="minorHAnsi"/>
        </w:rPr>
      </w:pPr>
      <w:r w:rsidRPr="0006710C">
        <w:rPr>
          <w:rFonts w:ascii="Lato" w:hAnsi="Lato" w:cstheme="minorHAnsi"/>
        </w:rPr>
        <w:t>Związek Pracodawców Branży Internetowej IAB Polska.</w:t>
      </w:r>
    </w:p>
    <w:p w14:paraId="6474ACAA" w14:textId="77777777" w:rsidR="006A3406" w:rsidRPr="0006710C" w:rsidRDefault="006A3406" w:rsidP="003F3419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b/>
        </w:rPr>
      </w:pPr>
      <w:r w:rsidRPr="0006710C">
        <w:rPr>
          <w:rFonts w:ascii="Lato" w:hAnsi="Lato" w:cstheme="minorHAnsi"/>
          <w:b/>
        </w:rPr>
        <w:t>W tym do opiniowania otrzymały go (</w:t>
      </w:r>
      <w:r w:rsidR="00DA7329" w:rsidRPr="0006710C">
        <w:rPr>
          <w:rFonts w:ascii="Lato" w:hAnsi="Lato" w:cstheme="minorHAnsi"/>
          <w:b/>
        </w:rPr>
        <w:t>5</w:t>
      </w:r>
      <w:r w:rsidRPr="0006710C">
        <w:rPr>
          <w:rFonts w:ascii="Lato" w:hAnsi="Lato" w:cstheme="minorHAnsi"/>
          <w:b/>
        </w:rPr>
        <w:t>):</w:t>
      </w:r>
    </w:p>
    <w:p w14:paraId="6B10EE77" w14:textId="77777777" w:rsidR="005A1543" w:rsidRDefault="00DA7329" w:rsidP="005A1543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Krajowa Rada Radiofonii i Telewizji,</w:t>
      </w:r>
    </w:p>
    <w:p w14:paraId="03993CFA" w14:textId="77777777" w:rsidR="00DA7329" w:rsidRDefault="00DA7329" w:rsidP="005A1543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Prokuratoria Generalna Rzeczypospolitej Polskiej,</w:t>
      </w:r>
    </w:p>
    <w:p w14:paraId="28C4EC1C" w14:textId="77777777" w:rsidR="00DA7329" w:rsidRDefault="00DA7329" w:rsidP="005A1543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Prezes Urzędu Ochrony Konkurencji i Konsumentów,</w:t>
      </w:r>
    </w:p>
    <w:p w14:paraId="25A2A4DF" w14:textId="77777777" w:rsidR="00DA7329" w:rsidRDefault="00DA7329" w:rsidP="005A1543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Prezes Urzędu Komunikacji Elektronicznej,</w:t>
      </w:r>
    </w:p>
    <w:p w14:paraId="6B9BC96A" w14:textId="77777777" w:rsidR="00DA7329" w:rsidRPr="005A1543" w:rsidRDefault="00DA7329" w:rsidP="005A1543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Prezes Polskiego Komitetu Normalizacyjnego.</w:t>
      </w:r>
    </w:p>
    <w:p w14:paraId="528ACF82" w14:textId="6610971B" w:rsidR="00582433" w:rsidRDefault="003F3419" w:rsidP="003F3419">
      <w:p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lastRenderedPageBreak/>
        <w:t>W ramach konsultacji publicznych i opiniowania wpłynęły opinie Urz</w:t>
      </w:r>
      <w:r w:rsidR="00CE67C5">
        <w:rPr>
          <w:rFonts w:ascii="Lato" w:hAnsi="Lato" w:cstheme="minorHAnsi"/>
        </w:rPr>
        <w:t>ę</w:t>
      </w:r>
      <w:r>
        <w:rPr>
          <w:rFonts w:ascii="Lato" w:hAnsi="Lato" w:cstheme="minorHAnsi"/>
        </w:rPr>
        <w:t>d</w:t>
      </w:r>
      <w:r w:rsidR="00CE67C5">
        <w:rPr>
          <w:rFonts w:ascii="Lato" w:hAnsi="Lato" w:cstheme="minorHAnsi"/>
        </w:rPr>
        <w:t>u</w:t>
      </w:r>
      <w:r>
        <w:rPr>
          <w:rFonts w:ascii="Lato" w:hAnsi="Lato" w:cstheme="minorHAnsi"/>
        </w:rPr>
        <w:t xml:space="preserve"> Komunikacji Elektronicznej oraz Polski</w:t>
      </w:r>
      <w:r w:rsidR="00CE67C5">
        <w:rPr>
          <w:rFonts w:ascii="Lato" w:hAnsi="Lato" w:cstheme="minorHAnsi"/>
        </w:rPr>
        <w:t>ego</w:t>
      </w:r>
      <w:r>
        <w:rPr>
          <w:rFonts w:ascii="Lato" w:hAnsi="Lato" w:cstheme="minorHAnsi"/>
        </w:rPr>
        <w:t xml:space="preserve"> Komitet Normalizacyjn</w:t>
      </w:r>
      <w:r w:rsidR="00CE67C5">
        <w:rPr>
          <w:rFonts w:ascii="Lato" w:hAnsi="Lato" w:cstheme="minorHAnsi"/>
        </w:rPr>
        <w:t>ego</w:t>
      </w:r>
      <w:r>
        <w:rPr>
          <w:rFonts w:ascii="Lato" w:hAnsi="Lato" w:cstheme="minorHAnsi"/>
        </w:rPr>
        <w:t xml:space="preserve">. </w:t>
      </w:r>
    </w:p>
    <w:p w14:paraId="32478C90" w14:textId="3DB8BB7D" w:rsidR="003F3419" w:rsidRDefault="003F3419" w:rsidP="003F3419">
      <w:p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 xml:space="preserve">Pozostałe podmioty nie wniosły uwag do projektu. W obecnej wersji projektu uwzględnione zostały uwagi i postulaty, które w opinii </w:t>
      </w:r>
      <w:r w:rsidR="00CE67C5">
        <w:rPr>
          <w:rFonts w:ascii="Lato" w:hAnsi="Lato" w:cstheme="minorHAnsi"/>
        </w:rPr>
        <w:t>wnioskodawcy</w:t>
      </w:r>
      <w:r>
        <w:rPr>
          <w:rFonts w:ascii="Lato" w:hAnsi="Lato" w:cstheme="minorHAnsi"/>
        </w:rPr>
        <w:t xml:space="preserve"> nie kolidują ani z zakresem upoważnienia ustawowego, ani z przepisami krajowym, jak również z przepisami UE.</w:t>
      </w:r>
    </w:p>
    <w:p w14:paraId="7DE83E16" w14:textId="77777777" w:rsidR="003F3419" w:rsidRDefault="003F3419" w:rsidP="003F3419">
      <w:p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Omówienie ww. uwag zostało przedstawione w załączniku do niniejszego Raportu.</w:t>
      </w:r>
    </w:p>
    <w:p w14:paraId="51A2C0A9" w14:textId="77777777" w:rsidR="006D4DA5" w:rsidRPr="00582433" w:rsidRDefault="003F3419" w:rsidP="003F3419">
      <w:pPr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 xml:space="preserve">Konferencja uzgodnieniowa dotycząca omówienia zgłoszonych uwag i propozycji </w:t>
      </w:r>
      <w:r w:rsidRPr="003F3419">
        <w:rPr>
          <w:rFonts w:ascii="Lato" w:hAnsi="Lato" w:cstheme="minorHAnsi"/>
          <w:u w:val="single"/>
        </w:rPr>
        <w:t>nie jest na ten moment przewidywana.</w:t>
      </w:r>
      <w:r>
        <w:rPr>
          <w:rFonts w:ascii="Lato" w:hAnsi="Lato" w:cstheme="minorHAnsi"/>
        </w:rPr>
        <w:t xml:space="preserve"> </w:t>
      </w:r>
    </w:p>
    <w:p w14:paraId="6BC5F82C" w14:textId="77777777" w:rsidR="00040F4D" w:rsidRPr="00616A8B" w:rsidRDefault="00040F4D" w:rsidP="003F3419">
      <w:pPr>
        <w:pStyle w:val="Akapitzlist"/>
        <w:numPr>
          <w:ilvl w:val="0"/>
          <w:numId w:val="1"/>
        </w:numPr>
        <w:jc w:val="both"/>
        <w:rPr>
          <w:rFonts w:ascii="Lato" w:hAnsi="Lato" w:cstheme="minorHAnsi"/>
          <w:b/>
        </w:rPr>
      </w:pPr>
      <w:r w:rsidRPr="00616A8B">
        <w:rPr>
          <w:rFonts w:ascii="Lato" w:hAnsi="Lato" w:cstheme="minorHAnsi"/>
          <w:b/>
        </w:rPr>
        <w:t>Omówienie wyników zasięgnięcia opinii, dokonania konsultacji albo uzgodnienia projektu z właściwymi organami i instytucjami Unii Europejskiej, w tym Europejskim Bankiem Centralnym</w:t>
      </w:r>
    </w:p>
    <w:p w14:paraId="24CE9597" w14:textId="11DD9A0D" w:rsidR="00DC3196" w:rsidRDefault="00984888" w:rsidP="003F3419">
      <w:pPr>
        <w:jc w:val="both"/>
        <w:rPr>
          <w:rFonts w:ascii="Lato" w:hAnsi="Lato" w:cstheme="minorHAnsi"/>
        </w:rPr>
      </w:pPr>
      <w:r w:rsidRPr="00616A8B">
        <w:rPr>
          <w:rFonts w:ascii="Lato" w:hAnsi="Lato" w:cstheme="minorHAnsi"/>
        </w:rPr>
        <w:t>Z uwagi na zakres projektu nie zasięgano opinii oraz nie dokonywano konsultacji i uzgodnień z organami i instytucjami Unii Europejskiej, w tym z Europejskim Bankiem Centralnym.</w:t>
      </w:r>
    </w:p>
    <w:p w14:paraId="7D6BA1C9" w14:textId="3948D3F2" w:rsidR="00CE67C5" w:rsidRPr="00CE67C5" w:rsidRDefault="00CE67C5" w:rsidP="00CE67C5">
      <w:pPr>
        <w:pStyle w:val="Akapitzlist"/>
        <w:numPr>
          <w:ilvl w:val="0"/>
          <w:numId w:val="1"/>
        </w:numPr>
        <w:jc w:val="both"/>
        <w:rPr>
          <w:rFonts w:ascii="Lato" w:hAnsi="Lato" w:cstheme="minorHAnsi"/>
          <w:b/>
          <w:bCs/>
        </w:rPr>
      </w:pPr>
      <w:r w:rsidRPr="00CE67C5">
        <w:rPr>
          <w:rFonts w:ascii="Lato" w:hAnsi="Lato" w:cstheme="minorHAnsi"/>
          <w:b/>
          <w:bCs/>
        </w:rPr>
        <w:t>Do projektu rozporządzenia nie zostały dokonane zgłoszenia lobbingowe w trybie przepisów ustawy o działalności lobbingowej w procesie stanowienia prawa.</w:t>
      </w:r>
    </w:p>
    <w:p w14:paraId="04346C80" w14:textId="77777777" w:rsidR="00984888" w:rsidRDefault="00984888">
      <w:pPr>
        <w:rPr>
          <w:rFonts w:ascii="Lato" w:hAnsi="Lato" w:cstheme="minorHAnsi"/>
          <w:b/>
        </w:rPr>
      </w:pPr>
    </w:p>
    <w:p w14:paraId="244D8106" w14:textId="73F4D007" w:rsidR="00CE67C5" w:rsidRPr="00CE67C5" w:rsidRDefault="00CE67C5" w:rsidP="00CE67C5">
      <w:pPr>
        <w:pStyle w:val="Akapitzlist"/>
        <w:numPr>
          <w:ilvl w:val="0"/>
          <w:numId w:val="1"/>
        </w:numPr>
        <w:rPr>
          <w:rFonts w:ascii="Lato" w:hAnsi="Lato" w:cstheme="minorHAnsi"/>
          <w:b/>
        </w:rPr>
        <w:sectPr w:rsidR="00CE67C5" w:rsidRPr="00CE67C5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5B7B60" w14:textId="77777777" w:rsidR="00DC3196" w:rsidRPr="00616A8B" w:rsidRDefault="00DC3196">
      <w:pPr>
        <w:rPr>
          <w:rFonts w:ascii="Lato" w:hAnsi="Lato" w:cstheme="minorHAnsi"/>
          <w:b/>
        </w:rPr>
      </w:pPr>
    </w:p>
    <w:p w14:paraId="6C98F48E" w14:textId="77777777" w:rsidR="00BA417C" w:rsidRPr="00616A8B" w:rsidRDefault="00BA417C" w:rsidP="00BA417C">
      <w:pPr>
        <w:jc w:val="right"/>
        <w:rPr>
          <w:rFonts w:ascii="Lato" w:hAnsi="Lato" w:cstheme="minorHAnsi"/>
          <w:i/>
        </w:rPr>
      </w:pPr>
      <w:r w:rsidRPr="00616A8B">
        <w:rPr>
          <w:rFonts w:ascii="Lato" w:hAnsi="Lato" w:cstheme="minorHAnsi"/>
          <w:i/>
        </w:rPr>
        <w:t>Załącznik do Raportu</w:t>
      </w:r>
    </w:p>
    <w:p w14:paraId="42EACDE4" w14:textId="1FDD11EA" w:rsidR="00DC3196" w:rsidRPr="00616A8B" w:rsidRDefault="00DC3196" w:rsidP="00DC3196">
      <w:pPr>
        <w:jc w:val="center"/>
        <w:rPr>
          <w:rFonts w:ascii="Lato" w:hAnsi="Lato" w:cstheme="minorHAnsi"/>
          <w:b/>
          <w:sz w:val="20"/>
          <w:szCs w:val="20"/>
        </w:rPr>
      </w:pPr>
      <w:r w:rsidRPr="00616A8B">
        <w:rPr>
          <w:rFonts w:ascii="Lato" w:hAnsi="Lato" w:cstheme="minorHAnsi"/>
          <w:b/>
          <w:sz w:val="20"/>
          <w:szCs w:val="20"/>
        </w:rPr>
        <w:t>ZESTAWIENIE UWAG I PROPOZYCJI ZGŁOSZONYCH W RAMACH OPINIOWANIA DO PROJEKTU ROZPORZĄDZENIA MINISTRA CYFRYZACJI ZMIENIAJĄCEGO ROZPORZĄDZENIE SPRAWIE URZĄDZEŃ RADIOWYCH NADAWCZYCH LUB NADAWCZO-ODBIORCZYCH, KTÓRE MOGĄ BYĆ UŻYWANE BEZ POZWOLENIA RADIOWEGO [WPL MC poz. 198]</w:t>
      </w:r>
    </w:p>
    <w:p w14:paraId="44E989A8" w14:textId="77777777" w:rsidR="00DC3196" w:rsidRPr="00616A8B" w:rsidRDefault="00DC3196" w:rsidP="00DC3196">
      <w:pPr>
        <w:rPr>
          <w:rFonts w:ascii="Lato" w:hAnsi="Lato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3"/>
        <w:gridCol w:w="1787"/>
        <w:gridCol w:w="2066"/>
        <w:gridCol w:w="5275"/>
        <w:gridCol w:w="4373"/>
      </w:tblGrid>
      <w:tr w:rsidR="00DC3196" w:rsidRPr="00616A8B" w14:paraId="178A56A9" w14:textId="77777777" w:rsidTr="005D0830">
        <w:tc>
          <w:tcPr>
            <w:tcW w:w="0" w:type="auto"/>
            <w:vAlign w:val="center"/>
          </w:tcPr>
          <w:p w14:paraId="4E52C61A" w14:textId="77777777" w:rsidR="00DC3196" w:rsidRPr="00616A8B" w:rsidRDefault="00DC3196" w:rsidP="005D0830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14:paraId="5886A5A4" w14:textId="77777777" w:rsidR="00DC3196" w:rsidRPr="00616A8B" w:rsidRDefault="00DC3196" w:rsidP="005D0830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0" w:type="auto"/>
            <w:vAlign w:val="center"/>
          </w:tcPr>
          <w:p w14:paraId="408D6862" w14:textId="77777777" w:rsidR="00DC3196" w:rsidRPr="00616A8B" w:rsidRDefault="00DC3196" w:rsidP="005D0830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0" w:type="auto"/>
            <w:vAlign w:val="center"/>
          </w:tcPr>
          <w:p w14:paraId="0BEA4F59" w14:textId="77777777" w:rsidR="00DC3196" w:rsidRPr="00616A8B" w:rsidRDefault="00DC3196" w:rsidP="005D0830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0" w:type="auto"/>
            <w:vAlign w:val="center"/>
          </w:tcPr>
          <w:p w14:paraId="36F2B158" w14:textId="77777777" w:rsidR="00DC3196" w:rsidRPr="00616A8B" w:rsidRDefault="00DC3196" w:rsidP="00616A8B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 xml:space="preserve">Stanowisko </w:t>
            </w:r>
            <w:r w:rsidR="00616A8B">
              <w:rPr>
                <w:rFonts w:ascii="Lato" w:hAnsi="Lato" w:cstheme="minorHAnsi"/>
                <w:b/>
                <w:sz w:val="20"/>
                <w:szCs w:val="20"/>
              </w:rPr>
              <w:t>Projektodawcy</w:t>
            </w:r>
          </w:p>
        </w:tc>
      </w:tr>
      <w:tr w:rsidR="00DC3196" w:rsidRPr="00616A8B" w14:paraId="763F3226" w14:textId="77777777" w:rsidTr="0050649E">
        <w:tc>
          <w:tcPr>
            <w:tcW w:w="0" w:type="auto"/>
            <w:vAlign w:val="center"/>
          </w:tcPr>
          <w:p w14:paraId="312B5522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14:paraId="666DB49E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19B7053E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ogólna</w:t>
            </w:r>
          </w:p>
        </w:tc>
        <w:tc>
          <w:tcPr>
            <w:tcW w:w="0" w:type="auto"/>
          </w:tcPr>
          <w:p w14:paraId="1D50C7F5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Informuję, że zgodnie z art. 5 ust. 4 ustawy o normalizacji z dnia 12 września 2002 r. Polskie Normy (PN) mogą być powoływane w przepisach prawnych po ich opublikowaniu w języku polskim. Jednocześnie zgodnie z art. 5 ust 2 ustawy o normalizacji PN może być wprowadzeniem normy europejskiej lub międzynarodowej. Wprowadzenie to może nastąpić w języku oryginału.</w:t>
            </w:r>
          </w:p>
        </w:tc>
        <w:tc>
          <w:tcPr>
            <w:tcW w:w="0" w:type="auto"/>
          </w:tcPr>
          <w:p w14:paraId="3F13D0D4" w14:textId="74F4EF55" w:rsidR="00DC3196" w:rsidRPr="00616A8B" w:rsidRDefault="00DC3196" w:rsidP="005D083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 xml:space="preserve">Uwaga </w:t>
            </w:r>
            <w:r w:rsidR="00CE67C5">
              <w:rPr>
                <w:rFonts w:ascii="Lato" w:hAnsi="Lato" w:cstheme="minorHAnsi"/>
                <w:b/>
                <w:sz w:val="20"/>
                <w:szCs w:val="20"/>
              </w:rPr>
              <w:t xml:space="preserve">przyjęta 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do wiadomości.</w:t>
            </w:r>
          </w:p>
        </w:tc>
      </w:tr>
      <w:tr w:rsidR="00DC3196" w:rsidRPr="00616A8B" w14:paraId="1474B4C8" w14:textId="77777777" w:rsidTr="0050649E">
        <w:tc>
          <w:tcPr>
            <w:tcW w:w="0" w:type="auto"/>
            <w:vAlign w:val="center"/>
          </w:tcPr>
          <w:p w14:paraId="21B02B45" w14:textId="3E852F73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2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7E78AE42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76C22304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Par. 1 pkt 1 lit b</w:t>
            </w:r>
          </w:p>
        </w:tc>
        <w:tc>
          <w:tcPr>
            <w:tcW w:w="0" w:type="auto"/>
          </w:tcPr>
          <w:p w14:paraId="10C65933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Jest FES stała ziemska stacja – powinno być FES stała stacja naziemna.</w:t>
            </w:r>
          </w:p>
        </w:tc>
        <w:tc>
          <w:tcPr>
            <w:tcW w:w="0" w:type="auto"/>
          </w:tcPr>
          <w:p w14:paraId="2458C009" w14:textId="77777777" w:rsidR="00DC3196" w:rsidRPr="00616A8B" w:rsidRDefault="00DC3196" w:rsidP="005D083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 xml:space="preserve">Uwaga nieuwzględniona. </w:t>
            </w:r>
          </w:p>
          <w:p w14:paraId="7BCBF02F" w14:textId="77777777" w:rsidR="00DC3196" w:rsidRPr="00616A8B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59CA2FE3" w14:textId="77777777" w:rsidR="00DC3196" w:rsidRPr="00616A8B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Nomenklatura radiokomunikacyjna jest inna.</w:t>
            </w:r>
          </w:p>
          <w:p w14:paraId="3C9BF833" w14:textId="77777777" w:rsidR="0094704C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FES (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Fixed</w:t>
            </w:r>
            <w:proofErr w:type="spellEnd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 xml:space="preserve"> Earth Station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 xml:space="preserve">) oznacza stację 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ziemską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 xml:space="preserve"> (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Earth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>), a nie naziemną (zwaną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terrestrial</w:t>
            </w:r>
            <w:proofErr w:type="spellEnd"/>
            <w:r w:rsidRPr="00616A8B">
              <w:rPr>
                <w:rFonts w:ascii="Lato" w:hAnsi="Lato" w:cstheme="minorHAnsi"/>
                <w:sz w:val="20"/>
                <w:szCs w:val="20"/>
              </w:rPr>
              <w:t xml:space="preserve"> lub czasem 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ground</w:t>
            </w:r>
            <w:proofErr w:type="spellEnd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station</w:t>
            </w:r>
            <w:proofErr w:type="spellEnd"/>
            <w:r w:rsidRPr="00616A8B">
              <w:rPr>
                <w:rFonts w:ascii="Lato" w:hAnsi="Lato" w:cstheme="minorHAnsi"/>
                <w:sz w:val="20"/>
                <w:szCs w:val="20"/>
              </w:rPr>
              <w:t xml:space="preserve">). </w:t>
            </w:r>
          </w:p>
          <w:p w14:paraId="468D831C" w14:textId="77777777" w:rsidR="00DC3196" w:rsidRPr="0094704C" w:rsidRDefault="00DC3196" w:rsidP="0094704C">
            <w:pPr>
              <w:jc w:val="right"/>
              <w:rPr>
                <w:rFonts w:ascii="Lato" w:hAnsi="Lato" w:cstheme="minorHAnsi"/>
                <w:sz w:val="20"/>
                <w:szCs w:val="20"/>
              </w:rPr>
            </w:pPr>
          </w:p>
          <w:p w14:paraId="3DEBA70F" w14:textId="77777777" w:rsidR="00DC3196" w:rsidRPr="00616A8B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Nazewnictwo takie obowiązuje od dawna i było ostatecznie przyjęte podczas dyskusji nad tłumaczeniem Regulaminu Radiokomunikacyjnego po 2015 roku, w którym obowiązuje nazwa „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ziemska stacja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>”. Nie istnieje natomiast stacja „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on Earth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>” w sensie „naziemna”.</w:t>
            </w:r>
          </w:p>
        </w:tc>
      </w:tr>
      <w:tr w:rsidR="00DC3196" w:rsidRPr="00616A8B" w14:paraId="21A4A646" w14:textId="77777777" w:rsidTr="0050649E">
        <w:tc>
          <w:tcPr>
            <w:tcW w:w="0" w:type="auto"/>
            <w:vAlign w:val="center"/>
          </w:tcPr>
          <w:p w14:paraId="5C481753" w14:textId="7F8E9D8A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3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54B3AD9B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0C180714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Par. 1 pkt 1 lit e</w:t>
            </w:r>
          </w:p>
        </w:tc>
        <w:tc>
          <w:tcPr>
            <w:tcW w:w="0" w:type="auto"/>
          </w:tcPr>
          <w:p w14:paraId="10D42FBC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Jest MES ruchoma stacja ziemska – powinno być MES ruchoma stacja naziemna.</w:t>
            </w:r>
          </w:p>
        </w:tc>
        <w:tc>
          <w:tcPr>
            <w:tcW w:w="0" w:type="auto"/>
          </w:tcPr>
          <w:p w14:paraId="3737EBE1" w14:textId="77777777" w:rsidR="00DC3196" w:rsidRPr="00616A8B" w:rsidRDefault="00DC3196" w:rsidP="005D083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nieuwzględniona.</w:t>
            </w:r>
          </w:p>
          <w:p w14:paraId="7760F37F" w14:textId="77777777" w:rsidR="00DC3196" w:rsidRPr="00616A8B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5D6A4A64" w14:textId="77777777" w:rsidR="00DC3196" w:rsidRPr="00616A8B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lastRenderedPageBreak/>
              <w:t>FES (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Fixed</w:t>
            </w:r>
            <w:proofErr w:type="spellEnd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 xml:space="preserve"> Earth Station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 xml:space="preserve">) oznacza stację 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ziemską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 xml:space="preserve"> (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Earth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>), a nie naziemną (zwaną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terrestrial</w:t>
            </w:r>
            <w:proofErr w:type="spellEnd"/>
            <w:r w:rsidRPr="00616A8B">
              <w:rPr>
                <w:rFonts w:ascii="Lato" w:hAnsi="Lato" w:cstheme="minorHAnsi"/>
                <w:sz w:val="20"/>
                <w:szCs w:val="20"/>
              </w:rPr>
              <w:t xml:space="preserve"> lub czasem 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ground</w:t>
            </w:r>
            <w:proofErr w:type="spellEnd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station</w:t>
            </w:r>
            <w:proofErr w:type="spellEnd"/>
            <w:r w:rsidRPr="00616A8B">
              <w:rPr>
                <w:rFonts w:ascii="Lato" w:hAnsi="Lato" w:cstheme="minorHAnsi"/>
                <w:sz w:val="20"/>
                <w:szCs w:val="20"/>
              </w:rPr>
              <w:t xml:space="preserve">). </w:t>
            </w:r>
          </w:p>
          <w:p w14:paraId="51B4D6E3" w14:textId="77777777" w:rsidR="00DC3196" w:rsidRPr="00616A8B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Nazewnictwo takie obowiązuje od dawna i było ostatecznie przyjęte podczas dyskusji nad tłumaczeniem Regulaminu Radiokomunikacyjnego po 2015 roku, w którym obowiązuje nazwa „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ziemska stacja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>”. Nie istnieje natomiast stacja „</w:t>
            </w:r>
            <w:r w:rsidRPr="00616A8B">
              <w:rPr>
                <w:rFonts w:ascii="Lato" w:hAnsi="Lato" w:cstheme="minorHAnsi"/>
                <w:i/>
                <w:sz w:val="20"/>
                <w:szCs w:val="20"/>
              </w:rPr>
              <w:t>on Earth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t>” w sensie „naziemna”.</w:t>
            </w:r>
          </w:p>
        </w:tc>
      </w:tr>
      <w:tr w:rsidR="00DC3196" w:rsidRPr="00616A8B" w14:paraId="3353A021" w14:textId="77777777" w:rsidTr="0050649E">
        <w:tc>
          <w:tcPr>
            <w:tcW w:w="0" w:type="auto"/>
            <w:vAlign w:val="center"/>
          </w:tcPr>
          <w:p w14:paraId="3D11CECE" w14:textId="0A232EF5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4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6F379BB6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435D7E04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2</w:t>
            </w:r>
          </w:p>
          <w:p w14:paraId="74B844AE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Poz. 5</w:t>
            </w:r>
          </w:p>
        </w:tc>
        <w:tc>
          <w:tcPr>
            <w:tcW w:w="0" w:type="auto"/>
          </w:tcPr>
          <w:p w14:paraId="5C2FB042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W załącznikach 2-5 znajdują się odniesienia do norm ETSI. Poniżej przedstawiam informacje dotyczące ich wdrożenia do zbioru Polskich Norm:</w:t>
            </w:r>
          </w:p>
          <w:p w14:paraId="2C89C74B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3CAF50A1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  <w:t xml:space="preserve">załącznik nr 2 </w:t>
            </w:r>
            <w:r w:rsidRPr="00616A8B">
              <w:rPr>
                <w:rFonts w:ascii="Lato" w:hAnsi="Lato" w:cstheme="minorHAnsi"/>
                <w:i/>
                <w:iCs/>
                <w:color w:val="000000"/>
                <w:sz w:val="20"/>
                <w:szCs w:val="20"/>
              </w:rPr>
              <w:t xml:space="preserve">URZĄDZENIA BLISKIEGO ZASIĘGU DO RADIOLOKACJI </w:t>
            </w:r>
          </w:p>
          <w:p w14:paraId="2CB4F5CC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poz. 5 </w:t>
            </w:r>
          </w:p>
          <w:p w14:paraId="35466DA0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ETSI EN 302 066 – norma jest wprowadzona do zbioru Polskich Norm jako PN-ETSI EN 302 066 V2.2.1:2021-02 i jest dostępna w polskiej i angielskiej wersji językowej.</w:t>
            </w:r>
          </w:p>
        </w:tc>
        <w:tc>
          <w:tcPr>
            <w:tcW w:w="0" w:type="auto"/>
          </w:tcPr>
          <w:p w14:paraId="69E856C8" w14:textId="77777777" w:rsidR="00DC3196" w:rsidRDefault="00DC3196" w:rsidP="005D083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uwzględniona</w:t>
            </w:r>
            <w:r w:rsidR="001B65A0">
              <w:rPr>
                <w:rFonts w:ascii="Lato" w:hAnsi="Lato" w:cstheme="minorHAnsi"/>
                <w:b/>
                <w:sz w:val="20"/>
                <w:szCs w:val="20"/>
              </w:rPr>
              <w:t xml:space="preserve"> częściowo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115637B0" w14:textId="77777777" w:rsidR="001B65A0" w:rsidRDefault="001B65A0" w:rsidP="005D0830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33A3062C" w14:textId="77777777" w:rsidR="00E926E2" w:rsidRDefault="001B65A0" w:rsidP="001B65A0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Projektodawca przywołał normy uwzględnione w zbiorze Polskich Norm. </w:t>
            </w:r>
          </w:p>
          <w:p w14:paraId="10309869" w14:textId="77777777" w:rsidR="001B65A0" w:rsidRPr="001B65A0" w:rsidRDefault="001B65A0" w:rsidP="001B65A0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Mając na uwadze fakt, że </w:t>
            </w:r>
            <w:r w:rsidR="00E926E2">
              <w:rPr>
                <w:rFonts w:ascii="Lato" w:hAnsi="Lato" w:cstheme="minorHAnsi"/>
                <w:sz w:val="20"/>
                <w:szCs w:val="20"/>
              </w:rPr>
              <w:t>odwołanie w przepisach do konkretnych wersji norm wiązałoby się z koniecznością nowelizacji rozporządzenia przy każdorazowej zmianie wersji normy, Projektodawca przywołał jedynie numer normy.</w:t>
            </w:r>
          </w:p>
        </w:tc>
      </w:tr>
      <w:tr w:rsidR="00DC3196" w:rsidRPr="00616A8B" w14:paraId="56B4B786" w14:textId="77777777" w:rsidTr="0050649E">
        <w:tc>
          <w:tcPr>
            <w:tcW w:w="0" w:type="auto"/>
            <w:vAlign w:val="center"/>
          </w:tcPr>
          <w:p w14:paraId="2A32DD5E" w14:textId="1A5EA112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5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7C632EA5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0401656F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2</w:t>
            </w:r>
          </w:p>
          <w:p w14:paraId="449CFF9B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Poz. 7-11</w:t>
            </w:r>
          </w:p>
        </w:tc>
        <w:tc>
          <w:tcPr>
            <w:tcW w:w="0" w:type="auto"/>
          </w:tcPr>
          <w:p w14:paraId="5606C48F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W załącznikach 2-5 znajdują się odniesienia do norm ETSI. Poniżej przedstawiam informacje dotyczące ich wdrożenia do zbioru Polskich Norm:</w:t>
            </w:r>
          </w:p>
          <w:p w14:paraId="5CAF8753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54E77223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</w:t>
            </w:r>
            <w:r w:rsidRPr="00616A8B"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  <w:t xml:space="preserve">załącznik nr 2 </w:t>
            </w:r>
            <w:r w:rsidRPr="00616A8B">
              <w:rPr>
                <w:rFonts w:ascii="Lato" w:hAnsi="Lato" w:cstheme="minorHAnsi"/>
                <w:i/>
                <w:iCs/>
                <w:color w:val="000000"/>
                <w:sz w:val="20"/>
                <w:szCs w:val="20"/>
              </w:rPr>
              <w:t xml:space="preserve">URZĄDZENIA BLISKIEGO ZASIĘGU DO RADIOLOKACJI </w:t>
            </w:r>
          </w:p>
          <w:p w14:paraId="4E1293A3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39B6B5C6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poz. 7-11</w:t>
            </w:r>
          </w:p>
          <w:p w14:paraId="31683370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ETSI EN 300 440 – norma jest wprowadzona do zbioru norm PN jako PN-ETSI EN 300 440 V2.2.1:2018-12. Jest dostępna w angielskiej wersji językowej.</w:t>
            </w:r>
          </w:p>
        </w:tc>
        <w:tc>
          <w:tcPr>
            <w:tcW w:w="0" w:type="auto"/>
          </w:tcPr>
          <w:p w14:paraId="058A269C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uwzględniona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częściowo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1FF7D6C3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01F6B123" w14:textId="77777777" w:rsidR="00E926E2" w:rsidRDefault="00E926E2" w:rsidP="00E926E2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Projektodawca przywołał normy uwzględnione w zbiorze Polskich Norm. </w:t>
            </w:r>
          </w:p>
          <w:p w14:paraId="6FF64B54" w14:textId="77777777" w:rsidR="00DC3196" w:rsidRPr="00616A8B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Mając na uwadze fakt, że </w:t>
            </w:r>
            <w:r>
              <w:rPr>
                <w:rFonts w:ascii="Lato" w:hAnsi="Lato" w:cstheme="minorHAnsi"/>
                <w:sz w:val="20"/>
                <w:szCs w:val="20"/>
              </w:rPr>
              <w:t>odwołanie w przepisach do konkretnych wersji norm wiązałoby się z koniecznością nowelizacji rozporządzenia przy każdorazowej zmianie wersji normy, Projektodawca przywołał jedynie numer normy.</w:t>
            </w:r>
          </w:p>
        </w:tc>
      </w:tr>
      <w:tr w:rsidR="00DC3196" w:rsidRPr="00616A8B" w14:paraId="643BE193" w14:textId="77777777" w:rsidTr="0050649E">
        <w:tc>
          <w:tcPr>
            <w:tcW w:w="0" w:type="auto"/>
            <w:vAlign w:val="center"/>
          </w:tcPr>
          <w:p w14:paraId="6DF170B6" w14:textId="68158C15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6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627DD892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10EA4CF5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3</w:t>
            </w:r>
          </w:p>
          <w:p w14:paraId="07970669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Poz. 1-2</w:t>
            </w:r>
          </w:p>
        </w:tc>
        <w:tc>
          <w:tcPr>
            <w:tcW w:w="0" w:type="auto"/>
          </w:tcPr>
          <w:p w14:paraId="47DD8E7C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  <w:t xml:space="preserve">załącznik nr 3 </w:t>
            </w:r>
            <w:r w:rsidRPr="00616A8B">
              <w:rPr>
                <w:rFonts w:ascii="Lato" w:hAnsi="Lato" w:cstheme="minorHAnsi"/>
                <w:i/>
                <w:iCs/>
                <w:color w:val="000000"/>
                <w:sz w:val="20"/>
                <w:szCs w:val="20"/>
              </w:rPr>
              <w:t xml:space="preserve">URZĄDZENIA BLISKIEGO ZASIĘGU DO STEROWANIA MODELAMI </w:t>
            </w:r>
          </w:p>
          <w:p w14:paraId="19B0088F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poz. 1 i 2 </w:t>
            </w:r>
          </w:p>
          <w:p w14:paraId="114523CE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ETSI EN 300 220 - norma wieloczęściowa PN ETSI EN 300 220-1 V3.1.1:2017-08 jest wprowadzona do zbioru </w:t>
            </w: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lastRenderedPageBreak/>
              <w:t xml:space="preserve">Polskich Norm i dostępna w polskiej i angielskiej wersji językowej. </w:t>
            </w:r>
          </w:p>
          <w:p w14:paraId="247B3EC0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Pozostałe części normy są dostępne w angielskiej wersji językowej: </w:t>
            </w:r>
          </w:p>
          <w:p w14:paraId="272305F9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PN ETSI EN 300 220-2 V3.2.1:2018-12 </w:t>
            </w:r>
          </w:p>
          <w:p w14:paraId="05A8DA1B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PN ETSI EN 300 220-3-1 V2.1.1:2017-07 </w:t>
            </w:r>
          </w:p>
          <w:p w14:paraId="39C3FD93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PN ETSI EN 300 220-3-2 V1.1.1:2017-08 </w:t>
            </w:r>
          </w:p>
          <w:p w14:paraId="2EE3B9FC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>PN ETSI EN 300 220-4 V1.1.1:2017-08.</w:t>
            </w:r>
          </w:p>
        </w:tc>
        <w:tc>
          <w:tcPr>
            <w:tcW w:w="0" w:type="auto"/>
          </w:tcPr>
          <w:p w14:paraId="7162BA42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Uwaga uwzględniona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częściowo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73905B47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040AA2D1" w14:textId="77777777" w:rsidR="00E926E2" w:rsidRDefault="00E926E2" w:rsidP="00E926E2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Projektodawca przywołał normy uwzględnione w zbiorze Polskich Norm. </w:t>
            </w:r>
          </w:p>
          <w:p w14:paraId="2714CE52" w14:textId="77777777" w:rsidR="00DC3196" w:rsidRPr="00616A8B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Mając na uwadze fakt, że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odwołanie w przepisach do konkretnych wersji norm </w:t>
            </w:r>
            <w:r>
              <w:rPr>
                <w:rFonts w:ascii="Lato" w:hAnsi="Lato" w:cstheme="minorHAnsi"/>
                <w:sz w:val="20"/>
                <w:szCs w:val="20"/>
              </w:rPr>
              <w:lastRenderedPageBreak/>
              <w:t>wiązałoby się z koniecznością nowelizacji rozporządzenia przy każdorazowej zmianie wersji normy, Projektodawca przywołał jedynie numer normy.</w:t>
            </w:r>
          </w:p>
        </w:tc>
      </w:tr>
      <w:tr w:rsidR="00DC3196" w:rsidRPr="00616A8B" w14:paraId="01140271" w14:textId="77777777" w:rsidTr="0050649E">
        <w:tc>
          <w:tcPr>
            <w:tcW w:w="0" w:type="auto"/>
            <w:vAlign w:val="center"/>
          </w:tcPr>
          <w:p w14:paraId="6849B0AC" w14:textId="668DAB10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7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6E0BA261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4F6152A8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4</w:t>
            </w:r>
          </w:p>
          <w:p w14:paraId="63ACD4C4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Poz. 2-7</w:t>
            </w:r>
          </w:p>
        </w:tc>
        <w:tc>
          <w:tcPr>
            <w:tcW w:w="0" w:type="auto"/>
          </w:tcPr>
          <w:p w14:paraId="786B45F5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  <w:t xml:space="preserve">załącznik nr 4 </w:t>
            </w:r>
            <w:r w:rsidRPr="00616A8B">
              <w:rPr>
                <w:rFonts w:ascii="Lato" w:hAnsi="Lato" w:cstheme="minorHAnsi"/>
                <w:i/>
                <w:iCs/>
                <w:color w:val="000000"/>
                <w:sz w:val="20"/>
                <w:szCs w:val="20"/>
              </w:rPr>
              <w:t xml:space="preserve">URZĄDZENIA BLISKIEGO ZASIĘGU NA POTRZEBY MIKROFONÓW BEZPRZEWODOWYCH, URZĄDZEŃ WSPOMAGAJĄCYCH SŁUCH I URZĄDZEŃ BEZPRZEWODOWYCH DO TRANSMISJI SYGNAŁÓW AKUSTYCZNYCH </w:t>
            </w:r>
          </w:p>
          <w:p w14:paraId="4667B147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poz. 2-7 </w:t>
            </w:r>
          </w:p>
          <w:p w14:paraId="1308D294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ETSI EN 300 422 jest normą wieloczęściową, wdrożoną do zbioru Polskich Norm w angielskiej wersji językowej jako: </w:t>
            </w:r>
          </w:p>
          <w:p w14:paraId="54832CD0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>PN ETSI EN 300 422-1 V2.2.1:2022-07 PN ETSI EN 300 422-2 V2.1.1:2017-08 PN ETSI EN 300 422-3 V2.1.1:2017-08 PN ETSI EN 300 422-4 V2.1.1:2017-10.</w:t>
            </w:r>
          </w:p>
        </w:tc>
        <w:tc>
          <w:tcPr>
            <w:tcW w:w="0" w:type="auto"/>
          </w:tcPr>
          <w:p w14:paraId="475B187B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uwzględniona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częściowo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0CC6F643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47E21812" w14:textId="77777777" w:rsidR="00E926E2" w:rsidRDefault="00E926E2" w:rsidP="00E926E2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Projektodawca przywołał normy uwzględnione w zbiorze Polskich Norm. </w:t>
            </w:r>
          </w:p>
          <w:p w14:paraId="47C23910" w14:textId="77777777" w:rsidR="00DC3196" w:rsidRPr="00616A8B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Mając na uwadze fakt, że </w:t>
            </w:r>
            <w:r>
              <w:rPr>
                <w:rFonts w:ascii="Lato" w:hAnsi="Lato" w:cstheme="minorHAnsi"/>
                <w:sz w:val="20"/>
                <w:szCs w:val="20"/>
              </w:rPr>
              <w:t>odwołanie w przepisach do konkretnych wersji norm wiązałoby się z koniecznością nowelizacji rozporządzenia przy każdorazowej zmianie wersji normy, Projektodawca przywołał jedynie numer normy.</w:t>
            </w:r>
          </w:p>
        </w:tc>
      </w:tr>
      <w:tr w:rsidR="00DC3196" w:rsidRPr="00616A8B" w14:paraId="08917E95" w14:textId="77777777" w:rsidTr="0050649E">
        <w:tc>
          <w:tcPr>
            <w:tcW w:w="0" w:type="auto"/>
            <w:vAlign w:val="center"/>
          </w:tcPr>
          <w:p w14:paraId="77AE648A" w14:textId="688BEFE9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8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78540AE0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4B322BC9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5</w:t>
            </w:r>
          </w:p>
          <w:p w14:paraId="5EC693F6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Wykaz nr 4</w:t>
            </w:r>
          </w:p>
        </w:tc>
        <w:tc>
          <w:tcPr>
            <w:tcW w:w="0" w:type="auto"/>
          </w:tcPr>
          <w:p w14:paraId="03272B53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  <w:t xml:space="preserve">załącznik nr 5 </w:t>
            </w:r>
            <w:r w:rsidRPr="00616A8B">
              <w:rPr>
                <w:rFonts w:ascii="Lato" w:hAnsi="Lato" w:cstheme="minorHAnsi"/>
                <w:i/>
                <w:iCs/>
                <w:color w:val="000000"/>
                <w:sz w:val="20"/>
                <w:szCs w:val="20"/>
              </w:rPr>
              <w:t xml:space="preserve">RODZAJE URZĄDZEŃ ZIEMSKICH STACJI SATELITARNYCH </w:t>
            </w: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w wykazie nr 4 </w:t>
            </w:r>
          </w:p>
          <w:p w14:paraId="10B5B24C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ETSI 302 340 </w:t>
            </w:r>
          </w:p>
          <w:p w14:paraId="2585C85C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>Jest wprowadzona do zbioru Polskich Norm i dostępna w angielskiej wersji językowej jako PN-ETSI 302 340 V 2.1.1: 2016-12.</w:t>
            </w:r>
          </w:p>
        </w:tc>
        <w:tc>
          <w:tcPr>
            <w:tcW w:w="0" w:type="auto"/>
          </w:tcPr>
          <w:p w14:paraId="18642520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uwzględniona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częściowo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54F0FCD6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3C209122" w14:textId="77777777" w:rsidR="00E926E2" w:rsidRDefault="00E926E2" w:rsidP="00E926E2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Projektodawca przywołał normy uwzględnione w zbiorze Polskich Norm. </w:t>
            </w:r>
          </w:p>
          <w:p w14:paraId="486C94B3" w14:textId="77777777" w:rsidR="00DC3196" w:rsidRPr="00616A8B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Mając na uwadze fakt, że </w:t>
            </w:r>
            <w:r>
              <w:rPr>
                <w:rFonts w:ascii="Lato" w:hAnsi="Lato" w:cstheme="minorHAnsi"/>
                <w:sz w:val="20"/>
                <w:szCs w:val="20"/>
              </w:rPr>
              <w:t>odwołanie w przepisach do konkretnych wersji norm wiązałoby się z koniecznością nowelizacji rozporządzenia przy każdorazowej zmianie wersji normy, Projektodawca przywołał jedynie numer normy.</w:t>
            </w:r>
          </w:p>
        </w:tc>
      </w:tr>
      <w:tr w:rsidR="00DC3196" w:rsidRPr="00616A8B" w14:paraId="37FECE43" w14:textId="77777777" w:rsidTr="0050649E">
        <w:tc>
          <w:tcPr>
            <w:tcW w:w="0" w:type="auto"/>
            <w:vAlign w:val="center"/>
          </w:tcPr>
          <w:p w14:paraId="50B1CEA7" w14:textId="4B5305A8" w:rsidR="00DC3196" w:rsidRPr="00616A8B" w:rsidRDefault="00CE67C5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9</w:t>
            </w:r>
            <w:r w:rsidR="00DC3196"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5051C32B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6BB9350A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5</w:t>
            </w:r>
          </w:p>
          <w:p w14:paraId="3B34BA78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Wykaz nr 5</w:t>
            </w:r>
          </w:p>
        </w:tc>
        <w:tc>
          <w:tcPr>
            <w:tcW w:w="0" w:type="auto"/>
          </w:tcPr>
          <w:p w14:paraId="70E24E8E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  <w:t xml:space="preserve">załącznik nr 5 </w:t>
            </w:r>
            <w:r w:rsidRPr="00616A8B">
              <w:rPr>
                <w:rFonts w:ascii="Lato" w:hAnsi="Lato" w:cstheme="minorHAnsi"/>
                <w:i/>
                <w:iCs/>
                <w:color w:val="000000"/>
                <w:sz w:val="20"/>
                <w:szCs w:val="20"/>
              </w:rPr>
              <w:t xml:space="preserve">RODZAJE URZĄDZEŃ ZIEMSKICH STACJI SATELITARNYCH </w:t>
            </w: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w wykazie nr 5 </w:t>
            </w:r>
          </w:p>
          <w:p w14:paraId="34EC89EF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ETSI 302 186 </w:t>
            </w:r>
          </w:p>
          <w:p w14:paraId="71746279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>Jest wprowadzona do zbioru Polskich Norm i dostępna w angielskiej wersji językowej jako PN-ETSI 302 186 V 2.2.1: 2021-12.</w:t>
            </w:r>
          </w:p>
        </w:tc>
        <w:tc>
          <w:tcPr>
            <w:tcW w:w="0" w:type="auto"/>
          </w:tcPr>
          <w:p w14:paraId="18F2B532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uwzględniona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częściowo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321DEEBF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415CD5FA" w14:textId="77777777" w:rsidR="00E926E2" w:rsidRDefault="00E926E2" w:rsidP="00E926E2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Projektodawca przywołał normy uwzględnione w zbiorze Polskich Norm. </w:t>
            </w:r>
          </w:p>
          <w:p w14:paraId="2189A154" w14:textId="77777777" w:rsidR="00DC3196" w:rsidRPr="00616A8B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Mając na uwadze fakt, że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odwołanie w przepisach do konkretnych wersji norm wiązałoby się z koniecznością nowelizacji rozporządzenia przy każdorazowej zmianie </w:t>
            </w:r>
            <w:r>
              <w:rPr>
                <w:rFonts w:ascii="Lato" w:hAnsi="Lato" w:cstheme="minorHAnsi"/>
                <w:sz w:val="20"/>
                <w:szCs w:val="20"/>
              </w:rPr>
              <w:lastRenderedPageBreak/>
              <w:t>wersji normy, Projektodawca przywołał jedynie numer normy.</w:t>
            </w:r>
          </w:p>
        </w:tc>
      </w:tr>
      <w:tr w:rsidR="00DC3196" w:rsidRPr="00616A8B" w14:paraId="45F73B5D" w14:textId="77777777" w:rsidTr="0050649E">
        <w:tc>
          <w:tcPr>
            <w:tcW w:w="0" w:type="auto"/>
            <w:vAlign w:val="center"/>
          </w:tcPr>
          <w:p w14:paraId="453BA367" w14:textId="44E80D06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1</w:t>
            </w:r>
            <w:r w:rsidR="00CE67C5">
              <w:rPr>
                <w:rFonts w:ascii="Lato" w:hAnsi="Lato" w:cstheme="minorHAnsi"/>
                <w:b/>
                <w:sz w:val="20"/>
                <w:szCs w:val="20"/>
              </w:rPr>
              <w:t>0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1BF86FB3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0" w:type="auto"/>
            <w:vAlign w:val="center"/>
          </w:tcPr>
          <w:p w14:paraId="24E1F23B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5</w:t>
            </w:r>
          </w:p>
          <w:p w14:paraId="0B1690DC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Wykaz nr 12</w:t>
            </w:r>
          </w:p>
        </w:tc>
        <w:tc>
          <w:tcPr>
            <w:tcW w:w="0" w:type="auto"/>
          </w:tcPr>
          <w:p w14:paraId="7BC01013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  <w:t xml:space="preserve">załącznik nr 5 </w:t>
            </w:r>
            <w:r w:rsidRPr="00616A8B">
              <w:rPr>
                <w:rFonts w:ascii="Lato" w:hAnsi="Lato" w:cstheme="minorHAnsi"/>
                <w:i/>
                <w:iCs/>
                <w:color w:val="000000"/>
                <w:sz w:val="20"/>
                <w:szCs w:val="20"/>
              </w:rPr>
              <w:t xml:space="preserve">RODZAJE URZĄDZEŃ ZIEMSKICH STACJI SATELITARNYCH </w:t>
            </w: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w wykazie nr 12 </w:t>
            </w:r>
          </w:p>
          <w:p w14:paraId="1235A609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ETSI EN 301 428 </w:t>
            </w:r>
          </w:p>
          <w:p w14:paraId="2F2F67EF" w14:textId="77777777" w:rsidR="00DC3196" w:rsidRPr="00616A8B" w:rsidRDefault="00DC3196" w:rsidP="005D0830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color w:val="000000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color w:val="000000"/>
                <w:sz w:val="20"/>
                <w:szCs w:val="20"/>
              </w:rPr>
              <w:t>Jest wprowadzona do zbioru Polskich Norm i dostępna w angielskiej wersji językowej jako PN-ETSI EN 301 428 V2.1.2:2017-11.</w:t>
            </w:r>
          </w:p>
        </w:tc>
        <w:tc>
          <w:tcPr>
            <w:tcW w:w="0" w:type="auto"/>
          </w:tcPr>
          <w:p w14:paraId="48B30C4C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uwzględniona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częściowo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17EB9C99" w14:textId="77777777" w:rsidR="00E926E2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44E35D04" w14:textId="77777777" w:rsidR="00E926E2" w:rsidRDefault="00E926E2" w:rsidP="00E926E2">
            <w:pPr>
              <w:rPr>
                <w:rFonts w:ascii="Lato" w:hAnsi="Lato" w:cstheme="minorHAnsi"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Projektodawca przywołał normy uwzględnione w zbiorze Polskich Norm. </w:t>
            </w:r>
          </w:p>
          <w:p w14:paraId="61744E93" w14:textId="77777777" w:rsidR="00DC3196" w:rsidRPr="00616A8B" w:rsidRDefault="00E926E2" w:rsidP="00E926E2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B65A0">
              <w:rPr>
                <w:rFonts w:ascii="Lato" w:hAnsi="Lato" w:cstheme="minorHAnsi"/>
                <w:sz w:val="20"/>
                <w:szCs w:val="20"/>
              </w:rPr>
              <w:t xml:space="preserve">Mając na uwadze fakt, że </w:t>
            </w:r>
            <w:r>
              <w:rPr>
                <w:rFonts w:ascii="Lato" w:hAnsi="Lato" w:cstheme="minorHAnsi"/>
                <w:sz w:val="20"/>
                <w:szCs w:val="20"/>
              </w:rPr>
              <w:t>odwołanie w przepisach do konkretnych wersji norm wiązałoby się z koniecznością nowelizacji rozporządzenia przy każdorazowej zmianie wersji normy, Projektodawca przywołał jedynie numer normy.</w:t>
            </w:r>
          </w:p>
        </w:tc>
      </w:tr>
      <w:tr w:rsidR="00DC3196" w:rsidRPr="00616A8B" w14:paraId="6A8AD59C" w14:textId="77777777" w:rsidTr="0050649E">
        <w:tc>
          <w:tcPr>
            <w:tcW w:w="0" w:type="auto"/>
            <w:vAlign w:val="center"/>
          </w:tcPr>
          <w:p w14:paraId="38AD3015" w14:textId="16B0F981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  <w:r w:rsidR="00CE67C5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671A728A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Urząd Komunikacji Elektronicznej</w:t>
            </w:r>
          </w:p>
        </w:tc>
        <w:tc>
          <w:tcPr>
            <w:tcW w:w="0" w:type="auto"/>
            <w:vAlign w:val="center"/>
          </w:tcPr>
          <w:p w14:paraId="7CA8FAF6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5 (wprowadzający zmianę w Załączniku nr 12)</w:t>
            </w:r>
          </w:p>
        </w:tc>
        <w:tc>
          <w:tcPr>
            <w:tcW w:w="0" w:type="auto"/>
          </w:tcPr>
          <w:p w14:paraId="79B09F9B" w14:textId="77777777" w:rsidR="00DC3196" w:rsidRPr="00616A8B" w:rsidRDefault="00DC3196" w:rsidP="005D0830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 xml:space="preserve">Załącznikowi nr 5 do projektowanego rozporządzenia (mającemu nadać nowe brzmienie załącznikowi nr 12 do zmienianego rozporządzenia) proponuje się nadać brzmienie jak w załączniku do niniejszego pisma. Jednocześnie należy zaznaczyć, że proponowane brzmienie załącznika nr 12 ma w szczególności na celu uwzględnienie zmian wprowadzonych w decyzjach ECC CEPT: ECC/DEC/(05)08, ECC/DEC/(05)11, ECC/DEC/(17)04, ECC/DEC/(18)04, ECC/DEC/(18)05 oraz ECC/DEC/(06)03, jak również utraty mocy przez decyzję ECC/DEC/(06)02. </w:t>
            </w:r>
          </w:p>
        </w:tc>
        <w:tc>
          <w:tcPr>
            <w:tcW w:w="0" w:type="auto"/>
          </w:tcPr>
          <w:p w14:paraId="07E80169" w14:textId="77777777" w:rsidR="00DC3196" w:rsidRPr="00616A8B" w:rsidRDefault="00DC3196" w:rsidP="005D083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Uwaga uwzględniona.</w:t>
            </w:r>
          </w:p>
        </w:tc>
      </w:tr>
      <w:tr w:rsidR="00DC3196" w:rsidRPr="00616A8B" w14:paraId="20BC0703" w14:textId="77777777" w:rsidTr="0050649E">
        <w:tc>
          <w:tcPr>
            <w:tcW w:w="0" w:type="auto"/>
            <w:vAlign w:val="center"/>
          </w:tcPr>
          <w:p w14:paraId="51995164" w14:textId="757072E3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  <w:r w:rsidR="00CE67C5">
              <w:rPr>
                <w:rFonts w:ascii="Lato" w:hAnsi="Lato" w:cstheme="minorHAnsi"/>
                <w:b/>
                <w:sz w:val="20"/>
                <w:szCs w:val="20"/>
              </w:rPr>
              <w:t>2</w:t>
            </w: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01D44C16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Urząd Komunikacji Elektronicznej</w:t>
            </w:r>
          </w:p>
        </w:tc>
        <w:tc>
          <w:tcPr>
            <w:tcW w:w="0" w:type="auto"/>
            <w:vAlign w:val="center"/>
          </w:tcPr>
          <w:p w14:paraId="4877AAE7" w14:textId="77777777" w:rsidR="00DC3196" w:rsidRPr="00616A8B" w:rsidRDefault="00DC3196" w:rsidP="0050649E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t>Załącznik nr 15</w:t>
            </w:r>
          </w:p>
        </w:tc>
        <w:tc>
          <w:tcPr>
            <w:tcW w:w="0" w:type="auto"/>
          </w:tcPr>
          <w:p w14:paraId="31E441A1" w14:textId="77777777" w:rsidR="00DC3196" w:rsidRPr="00616A8B" w:rsidRDefault="00DC3196" w:rsidP="005D0830">
            <w:pPr>
              <w:rPr>
                <w:rFonts w:ascii="Lato" w:hAnsi="Lato" w:cstheme="minorHAnsi"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sz w:val="20"/>
                <w:szCs w:val="20"/>
              </w:rPr>
              <w:t xml:space="preserve">Projektowaną nowelizację proponuje się uzupełnić o zmianę załącznika nr 15 do obowiązującego rozporządzenia Ministra Cyfryzacji z dnia 9 lutego 2022 r. w sprawie urządzeń radiowych nadawczych lub nadawczo-odbiorczych, które mogą być używane bez pozwolenia radiowego (Dz. U. poz. 567). Zmiana ta powinna polegać na uwzględnieniu w metryce promulgacyjnej przywołanej w załączniku nr 15 decyzji wykonawczej Komisji (UE) 2018/1538 z dnia 11 października 2018 r. w sprawie harmonizacji widma radiowego na potrzeby urządzeń bliskiego zasięgu w zakresach częstotliwości 874–876 MHz i 915–921 MHz (Dz. Urz. UE L 257 z 15.10.2018, str. 57) nowelizacji tej decyzji dokonanej decyzją wykonawczą Komisji (UE) </w:t>
            </w:r>
            <w:r w:rsidRPr="00616A8B">
              <w:rPr>
                <w:rFonts w:ascii="Lato" w:hAnsi="Lato" w:cstheme="minorHAnsi"/>
                <w:sz w:val="20"/>
                <w:szCs w:val="20"/>
              </w:rPr>
              <w:lastRenderedPageBreak/>
              <w:t>2022/172 z dnia 7 lutego 2022 r. zmieniającą decyzję wykonawczą Komisji (UE) 2018/1538 w sprawie harmonizacji widma radiowego na potrzeby urządzeń bliskiego zasięgu w zakresach częstotliwości 874-876 MHz i 915-921 MHz (Dz. Urz. UE L 28 z 9.02.2022, str. 21). Decyzja wykonawcza Komisji (UE) 2022/172 w szczególności zastępuje dotychczasowy załącznik do decyzji wykonawczej Komisji (UE) 2018/1538 nowym załącznikiem „Zakresy częstotliwości oraz odpowiadające im zharmonizowane warunki techniczne i terminy wdrożenia dla urządzeń bliskiego zasięgu”, który odzwierciedla zmiany technologiczne i rozwój sytuacji rynkowej w dziedzinie urządzeń bliskiego zasięgu.</w:t>
            </w:r>
          </w:p>
        </w:tc>
        <w:tc>
          <w:tcPr>
            <w:tcW w:w="0" w:type="auto"/>
          </w:tcPr>
          <w:p w14:paraId="1CB68293" w14:textId="77777777" w:rsidR="00DC3196" w:rsidRPr="00616A8B" w:rsidRDefault="00DC3196" w:rsidP="005D083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616A8B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Uwaga uwzględniona.</w:t>
            </w:r>
          </w:p>
        </w:tc>
      </w:tr>
    </w:tbl>
    <w:p w14:paraId="6865CE1C" w14:textId="77777777" w:rsidR="00DC3196" w:rsidRPr="00616A8B" w:rsidRDefault="00DC3196" w:rsidP="004872E9">
      <w:pPr>
        <w:rPr>
          <w:rFonts w:ascii="Lato" w:hAnsi="Lato" w:cstheme="minorHAnsi"/>
          <w:b/>
        </w:rPr>
      </w:pPr>
    </w:p>
    <w:sectPr w:rsidR="00DC3196" w:rsidRPr="00616A8B" w:rsidSect="00DC319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28C9E" w14:textId="77777777" w:rsidR="009A62F4" w:rsidRDefault="009A62F4" w:rsidP="00BD5791">
      <w:pPr>
        <w:spacing w:after="0" w:line="240" w:lineRule="auto"/>
      </w:pPr>
      <w:r>
        <w:separator/>
      </w:r>
    </w:p>
  </w:endnote>
  <w:endnote w:type="continuationSeparator" w:id="0">
    <w:p w14:paraId="683F4608" w14:textId="77777777" w:rsidR="009A62F4" w:rsidRDefault="009A62F4" w:rsidP="00BD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71110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ADE2542" w14:textId="237C64B6" w:rsidR="00C73737" w:rsidRDefault="00C7373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08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08B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484419" w14:textId="77777777" w:rsidR="00C73737" w:rsidRDefault="00C737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14EC" w14:textId="77777777" w:rsidR="0094704C" w:rsidRDefault="00947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7D963" w14:textId="77777777" w:rsidR="009A62F4" w:rsidRDefault="009A62F4" w:rsidP="00BD5791">
      <w:pPr>
        <w:spacing w:after="0" w:line="240" w:lineRule="auto"/>
      </w:pPr>
      <w:r>
        <w:separator/>
      </w:r>
    </w:p>
  </w:footnote>
  <w:footnote w:type="continuationSeparator" w:id="0">
    <w:p w14:paraId="0BDD75F4" w14:textId="77777777" w:rsidR="009A62F4" w:rsidRDefault="009A62F4" w:rsidP="00BD5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CDD"/>
    <w:multiLevelType w:val="hybridMultilevel"/>
    <w:tmpl w:val="390604D0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426BC"/>
    <w:multiLevelType w:val="hybridMultilevel"/>
    <w:tmpl w:val="4ED2358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B5070"/>
    <w:multiLevelType w:val="hybridMultilevel"/>
    <w:tmpl w:val="98CA16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35330"/>
    <w:multiLevelType w:val="hybridMultilevel"/>
    <w:tmpl w:val="28581DC2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12FD7"/>
    <w:multiLevelType w:val="hybridMultilevel"/>
    <w:tmpl w:val="71C88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016439">
    <w:abstractNumId w:val="4"/>
  </w:num>
  <w:num w:numId="2" w16cid:durableId="1006247952">
    <w:abstractNumId w:val="2"/>
  </w:num>
  <w:num w:numId="3" w16cid:durableId="2128231299">
    <w:abstractNumId w:val="1"/>
  </w:num>
  <w:num w:numId="4" w16cid:durableId="1945305109">
    <w:abstractNumId w:val="3"/>
  </w:num>
  <w:num w:numId="5" w16cid:durableId="882667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1C3"/>
    <w:rsid w:val="00040F4D"/>
    <w:rsid w:val="0006710C"/>
    <w:rsid w:val="000C0F1D"/>
    <w:rsid w:val="00181D24"/>
    <w:rsid w:val="001B65A0"/>
    <w:rsid w:val="00207923"/>
    <w:rsid w:val="002F5191"/>
    <w:rsid w:val="002F51C3"/>
    <w:rsid w:val="003208BC"/>
    <w:rsid w:val="00376B8C"/>
    <w:rsid w:val="003B2397"/>
    <w:rsid w:val="003F3419"/>
    <w:rsid w:val="00403DBB"/>
    <w:rsid w:val="004872E9"/>
    <w:rsid w:val="0050649E"/>
    <w:rsid w:val="005176A7"/>
    <w:rsid w:val="00522EB4"/>
    <w:rsid w:val="00571B65"/>
    <w:rsid w:val="00582433"/>
    <w:rsid w:val="005A1543"/>
    <w:rsid w:val="005D59F0"/>
    <w:rsid w:val="005F4AC6"/>
    <w:rsid w:val="00616A8B"/>
    <w:rsid w:val="00685889"/>
    <w:rsid w:val="006A3406"/>
    <w:rsid w:val="006D4DA5"/>
    <w:rsid w:val="00704AD4"/>
    <w:rsid w:val="007D2B6A"/>
    <w:rsid w:val="007F60F6"/>
    <w:rsid w:val="008158B2"/>
    <w:rsid w:val="00851CED"/>
    <w:rsid w:val="00856850"/>
    <w:rsid w:val="00886569"/>
    <w:rsid w:val="0094704C"/>
    <w:rsid w:val="00984888"/>
    <w:rsid w:val="009A13D8"/>
    <w:rsid w:val="009A62F4"/>
    <w:rsid w:val="009E142F"/>
    <w:rsid w:val="009E65FB"/>
    <w:rsid w:val="00A3348D"/>
    <w:rsid w:val="00A41602"/>
    <w:rsid w:val="00A67FBB"/>
    <w:rsid w:val="00A9102E"/>
    <w:rsid w:val="00A9561B"/>
    <w:rsid w:val="00AB0D7C"/>
    <w:rsid w:val="00BA417C"/>
    <w:rsid w:val="00BD5791"/>
    <w:rsid w:val="00C73737"/>
    <w:rsid w:val="00CE67C5"/>
    <w:rsid w:val="00D466AD"/>
    <w:rsid w:val="00D66AD5"/>
    <w:rsid w:val="00DA7329"/>
    <w:rsid w:val="00DC3196"/>
    <w:rsid w:val="00E07054"/>
    <w:rsid w:val="00E926E2"/>
    <w:rsid w:val="00F5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39687"/>
  <w15:chartTrackingRefBased/>
  <w15:docId w15:val="{A907B184-3BAB-4DE6-90CE-6F7B281E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1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791"/>
  </w:style>
  <w:style w:type="paragraph" w:styleId="Stopka">
    <w:name w:val="footer"/>
    <w:basedOn w:val="Normalny"/>
    <w:link w:val="StopkaZnak"/>
    <w:uiPriority w:val="99"/>
    <w:unhideWhenUsed/>
    <w:rsid w:val="00BD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791"/>
  </w:style>
  <w:style w:type="paragraph" w:styleId="Akapitzlist">
    <w:name w:val="List Paragraph"/>
    <w:basedOn w:val="Normalny"/>
    <w:uiPriority w:val="34"/>
    <w:qFormat/>
    <w:rsid w:val="00040F4D"/>
    <w:pPr>
      <w:ind w:left="720"/>
      <w:contextualSpacing/>
    </w:pPr>
  </w:style>
  <w:style w:type="table" w:styleId="Tabela-Siatka">
    <w:name w:val="Table Grid"/>
    <w:basedOn w:val="Standardowy"/>
    <w:uiPriority w:val="39"/>
    <w:rsid w:val="00DC3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31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D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D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D2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81D2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0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1702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Bosiak Daniel</dc:creator>
  <cp:keywords/>
  <dc:description/>
  <cp:lastModifiedBy>Markowska Anna</cp:lastModifiedBy>
  <cp:revision>5</cp:revision>
  <dcterms:created xsi:type="dcterms:W3CDTF">2023-06-14T11:26:00Z</dcterms:created>
  <dcterms:modified xsi:type="dcterms:W3CDTF">2023-06-16T13:52:00Z</dcterms:modified>
</cp:coreProperties>
</file>